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67A084">
      <w:pPr>
        <w:jc w:val="center"/>
        <w:rPr>
          <w:rFonts w:hint="eastAsia" w:ascii="Times New Roman" w:hAnsi="Times New Roman" w:cs="Times New Roman"/>
          <w:b/>
          <w:bCs/>
          <w:sz w:val="24"/>
          <w:szCs w:val="24"/>
          <w:lang w:val="en-US" w:eastAsia="zh-CN"/>
        </w:rPr>
      </w:pPr>
      <w:bookmarkStart w:id="0" w:name="OLE_LINK1"/>
      <w:r>
        <w:rPr>
          <w:rFonts w:hint="eastAsia" w:ascii="Times New Roman" w:hAnsi="Times New Roman" w:cs="Times New Roman"/>
          <w:b/>
          <w:bCs/>
          <w:sz w:val="24"/>
          <w:szCs w:val="24"/>
          <w:lang w:val="en-US" w:eastAsia="zh-CN"/>
        </w:rPr>
        <w:t>Legend of Supplementary Figure</w:t>
      </w:r>
    </w:p>
    <w:p w14:paraId="52B0DC3C">
      <w:pPr>
        <w:rPr>
          <w:rFonts w:hint="eastAsia" w:ascii="Times New Roman" w:hAnsi="Times New Roman" w:cs="Times New Roman"/>
          <w:b/>
          <w:bCs/>
          <w:sz w:val="24"/>
          <w:szCs w:val="24"/>
          <w:lang w:val="en-US" w:eastAsia="zh-CN"/>
        </w:rPr>
      </w:pPr>
    </w:p>
    <w:p w14:paraId="1C66FBCD">
      <w:pPr>
        <w:rPr>
          <w:rFonts w:hint="eastAsia" w:ascii="Times New Roman" w:hAnsi="Times New Roman" w:cs="Times New Roman"/>
          <w:b/>
          <w:bCs/>
          <w:sz w:val="24"/>
          <w:szCs w:val="24"/>
          <w:lang w:val="en-US" w:eastAsia="zh-CN"/>
        </w:rPr>
      </w:pPr>
    </w:p>
    <w:p w14:paraId="40698603">
      <w:pPr>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Figure S1 The causal effect between Tumor necrosis factor ligand superfamily member 14 levels and AD.</w:t>
      </w:r>
    </w:p>
    <w:p w14:paraId="021F95E1">
      <w:pPr>
        <w:keepNext w:val="0"/>
        <w:keepLines w:val="0"/>
        <w:pageBreakBefore w:val="0"/>
        <w:widowControl/>
        <w:suppressLineNumbers w:val="0"/>
        <w:kinsoku/>
        <w:wordWrap/>
        <w:overflowPunct/>
        <w:topLinePunct w:val="0"/>
        <w:autoSpaceDE/>
        <w:autoSpaceDN/>
        <w:bidi w:val="0"/>
        <w:adjustRightInd/>
        <w:snapToGrid/>
        <w:jc w:val="both"/>
        <w:textAlignment w:val="auto"/>
        <w:rPr>
          <w:rFonts w:hint="default" w:ascii="Times New Roman" w:hAnsi="Times New Roman" w:cs="Times New Roman"/>
          <w:b w:val="0"/>
          <w:bCs/>
          <w:sz w:val="16"/>
          <w:szCs w:val="16"/>
        </w:rPr>
      </w:pPr>
      <w:r>
        <w:rPr>
          <w:rFonts w:hint="default" w:ascii="Times New Roman" w:hAnsi="Times New Roman" w:cs="Times New Roman"/>
          <w:b w:val="0"/>
          <w:bCs/>
          <w:sz w:val="24"/>
          <w:szCs w:val="24"/>
        </w:rPr>
        <w:t xml:space="preserve">Scatter plots </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A</w:t>
      </w:r>
      <w:r>
        <w:rPr>
          <w:rFonts w:hint="default" w:ascii="Times New Roman" w:hAnsi="Times New Roman" w:cs="Times New Roman"/>
          <w:b w:val="0"/>
          <w:bCs/>
          <w:sz w:val="24"/>
          <w:szCs w:val="24"/>
          <w:lang w:val="en-US" w:eastAsia="zh-CN"/>
        </w:rPr>
        <w:t>)</w:t>
      </w:r>
      <w:r>
        <w:rPr>
          <w:rFonts w:hint="default" w:ascii="Times New Roman" w:hAnsi="Times New Roman" w:cs="Times New Roman"/>
          <w:b w:val="0"/>
          <w:bCs/>
          <w:sz w:val="24"/>
          <w:szCs w:val="24"/>
        </w:rPr>
        <w:t>for the causal associations between</w:t>
      </w:r>
      <w:r>
        <w:rPr>
          <w:rFonts w:hint="default" w:ascii="Times New Roman" w:hAnsi="Times New Roman" w:cs="Times New Roman"/>
          <w:b w:val="0"/>
          <w:bCs/>
          <w:sz w:val="24"/>
          <w:szCs w:val="24"/>
          <w:lang w:val="en-US" w:eastAsia="zh-CN"/>
        </w:rPr>
        <w:t xml:space="preserve"> </w:t>
      </w:r>
      <w:r>
        <w:rPr>
          <w:rFonts w:hint="eastAsia" w:ascii="Times New Roman" w:hAnsi="Times New Roman" w:cs="Times New Roman"/>
          <w:b w:val="0"/>
          <w:bCs/>
          <w:sz w:val="24"/>
          <w:szCs w:val="24"/>
          <w:lang w:val="en-US" w:eastAsia="zh-CN"/>
        </w:rPr>
        <w:t>Tumor necrosis factor ligand superfamily member 14 levels</w:t>
      </w:r>
      <w:r>
        <w:rPr>
          <w:rFonts w:hint="default" w:ascii="Times New Roman" w:hAnsi="Times New Roman" w:cs="Times New Roman"/>
          <w:b w:val="0"/>
          <w:bCs/>
          <w:sz w:val="24"/>
          <w:szCs w:val="24"/>
        </w:rPr>
        <w:t xml:space="preserve"> </w:t>
      </w:r>
      <w:r>
        <w:rPr>
          <w:rFonts w:hint="default" w:ascii="Times New Roman" w:hAnsi="Times New Roman" w:cs="Times New Roman"/>
          <w:b w:val="0"/>
          <w:bCs/>
          <w:sz w:val="24"/>
          <w:szCs w:val="24"/>
          <w:lang w:val="en-US" w:eastAsia="zh-CN"/>
        </w:rPr>
        <w:t>and</w:t>
      </w:r>
      <w:r>
        <w:rPr>
          <w:rFonts w:hint="default" w:ascii="Times New Roman" w:hAnsi="Times New Roman" w:cs="Times New Roman"/>
          <w:b w:val="0"/>
          <w:bCs/>
          <w:sz w:val="24"/>
          <w:szCs w:val="24"/>
        </w:rPr>
        <w:t xml:space="preserve"> </w:t>
      </w:r>
      <w:r>
        <w:rPr>
          <w:rFonts w:hint="eastAsia" w:ascii="Times New Roman" w:hAnsi="Times New Roman" w:cs="Times New Roman"/>
          <w:b w:val="0"/>
          <w:bCs/>
          <w:sz w:val="24"/>
          <w:szCs w:val="24"/>
          <w:lang w:val="en-US" w:eastAsia="zh-CN"/>
        </w:rPr>
        <w:t>AD</w:t>
      </w:r>
      <w:r>
        <w:rPr>
          <w:rFonts w:hint="default" w:ascii="Times New Roman" w:hAnsi="Times New Roman" w:cs="Times New Roman"/>
          <w:b w:val="0"/>
          <w:bCs/>
          <w:sz w:val="24"/>
          <w:szCs w:val="24"/>
        </w:rPr>
        <w:t>.</w:t>
      </w:r>
      <w:r>
        <w:rPr>
          <w:rFonts w:hint="default" w:ascii="Times New Roman" w:hAnsi="Times New Roman" w:cs="Times New Roman"/>
          <w:b w:val="0"/>
          <w:bCs/>
          <w:sz w:val="24"/>
          <w:szCs w:val="24"/>
          <w:lang w:eastAsia="zh-CN"/>
        </w:rPr>
        <w:t xml:space="preserve"> </w:t>
      </w:r>
      <w:r>
        <w:rPr>
          <w:rFonts w:hint="default" w:ascii="Times New Roman" w:hAnsi="Times New Roman" w:cs="Times New Roman"/>
          <w:b w:val="0"/>
          <w:bCs/>
          <w:sz w:val="24"/>
          <w:szCs w:val="24"/>
        </w:rPr>
        <w:t xml:space="preserve">Each black point represents the SNP effect sizes on the exposure (horizontal axis) and outcome (vertical axis) and is plotted with error bars of standard error (SE). The line slopes represent the causal association for each method: the inverse variance weighted (light blue line), MR-Egger regression(blue line), </w:t>
      </w:r>
      <w:r>
        <w:rPr>
          <w:rFonts w:hint="default" w:ascii="Times New Roman" w:hAnsi="Times New Roman" w:cs="Times New Roman"/>
          <w:b w:val="0"/>
          <w:bCs/>
          <w:sz w:val="24"/>
          <w:szCs w:val="24"/>
          <w:lang w:val="en-US" w:eastAsia="zh-CN"/>
        </w:rPr>
        <w:t>Simple mode</w:t>
      </w:r>
      <w:r>
        <w:rPr>
          <w:rFonts w:hint="default" w:ascii="Times New Roman" w:hAnsi="Times New Roman" w:cs="Times New Roman"/>
          <w:b w:val="0"/>
          <w:bCs/>
          <w:sz w:val="24"/>
          <w:szCs w:val="24"/>
        </w:rPr>
        <w:t>(light green line), weighted median (green line), and weighted mode (red</w:t>
      </w:r>
      <w:r>
        <w:rPr>
          <w:rFonts w:hint="default" w:ascii="Times New Roman" w:hAnsi="Times New Roman" w:cs="Times New Roman"/>
          <w:b w:val="0"/>
          <w:bCs/>
          <w:sz w:val="24"/>
          <w:szCs w:val="24"/>
          <w:lang w:val="en-US" w:eastAsia="zh-CN"/>
        </w:rPr>
        <w:t xml:space="preserve"> line).</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Funnel plot (</w:t>
      </w:r>
      <w:r>
        <w:rPr>
          <w:rFonts w:hint="eastAsia" w:ascii="Times New Roman" w:hAnsi="Times New Roman" w:cs="Times New Roman"/>
          <w:b w:val="0"/>
          <w:bCs/>
          <w:sz w:val="24"/>
          <w:szCs w:val="24"/>
          <w:lang w:val="en-US" w:eastAsia="zh-CN"/>
        </w:rPr>
        <w:t>B</w:t>
      </w:r>
      <w:r>
        <w:rPr>
          <w:rFonts w:hint="default" w:ascii="Times New Roman" w:hAnsi="Times New Roman" w:cs="Times New Roman"/>
          <w:b w:val="0"/>
          <w:bCs/>
          <w:sz w:val="24"/>
          <w:szCs w:val="24"/>
          <w:lang w:val="en-US" w:eastAsia="zh-CN"/>
        </w:rPr>
        <w:t xml:space="preserve">) </w:t>
      </w:r>
      <w:r>
        <w:rPr>
          <w:rFonts w:hint="default" w:ascii="Times New Roman" w:hAnsi="Times New Roman" w:eastAsia="TimesNewRomanPS-BoldMT" w:cs="Times New Roman"/>
          <w:b w:val="0"/>
          <w:bCs/>
          <w:color w:val="000000"/>
          <w:kern w:val="0"/>
          <w:sz w:val="24"/>
          <w:szCs w:val="24"/>
          <w:lang w:val="en-US" w:eastAsia="zh-CN" w:bidi="ar"/>
        </w:rPr>
        <w:t xml:space="preserve">for two-sample MR analysis of </w:t>
      </w:r>
      <w:r>
        <w:rPr>
          <w:rFonts w:hint="eastAsia" w:ascii="Times New Roman" w:hAnsi="Times New Roman" w:cs="Times New Roman"/>
          <w:b w:val="0"/>
          <w:bCs/>
          <w:sz w:val="24"/>
          <w:szCs w:val="24"/>
          <w:lang w:val="en-US" w:eastAsia="zh-CN"/>
        </w:rPr>
        <w:t>Tumor necrosis factor ligand superfamily member 14 levels</w:t>
      </w:r>
      <w:r>
        <w:rPr>
          <w:rFonts w:hint="default" w:ascii="Times New Roman" w:hAnsi="Times New Roman" w:eastAsia="TimesNewRomanPS-BoldMT" w:cs="Times New Roman"/>
          <w:b w:val="0"/>
          <w:bCs/>
          <w:color w:val="000000"/>
          <w:kern w:val="0"/>
          <w:sz w:val="24"/>
          <w:szCs w:val="24"/>
          <w:lang w:val="en-US" w:eastAsia="zh-CN" w:bidi="ar"/>
        </w:rPr>
        <w:t xml:space="preserve"> 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,The horizontal axis shows effect size, 1/SE is the vertical axis, and each dot represents a SNP.</w:t>
      </w:r>
      <w:r>
        <w:rPr>
          <w:rFonts w:hint="eastAsia" w:ascii="Times New Roman" w:hAnsi="Times New Roman" w:eastAsia="TimesNewRomanPS-BoldMT" w:cs="Times New Roman"/>
          <w:b w:val="0"/>
          <w:bCs/>
          <w:color w:val="000000"/>
          <w:kern w:val="0"/>
          <w:sz w:val="24"/>
          <w:szCs w:val="24"/>
          <w:lang w:val="en-US" w:eastAsia="zh-CN" w:bidi="ar"/>
        </w:rPr>
        <w:t xml:space="preserve"> </w:t>
      </w:r>
      <w:r>
        <w:rPr>
          <w:rFonts w:hint="default" w:ascii="Times New Roman" w:hAnsi="Times New Roman" w:eastAsia="TimesNewRomanPS-BoldMT" w:cs="Times New Roman"/>
          <w:b w:val="0"/>
          <w:bCs/>
          <w:color w:val="000000"/>
          <w:kern w:val="0"/>
          <w:sz w:val="24"/>
          <w:szCs w:val="24"/>
          <w:lang w:val="en-US" w:eastAsia="zh-CN" w:bidi="ar"/>
        </w:rPr>
        <w:t>Forest plot (</w:t>
      </w:r>
      <w:r>
        <w:rPr>
          <w:rFonts w:hint="eastAsia" w:ascii="Times New Roman" w:hAnsi="Times New Roman" w:eastAsia="TimesNewRomanPS-BoldMT" w:cs="Times New Roman"/>
          <w:b w:val="0"/>
          <w:bCs/>
          <w:color w:val="000000"/>
          <w:kern w:val="0"/>
          <w:sz w:val="24"/>
          <w:szCs w:val="24"/>
          <w:lang w:val="en-US" w:eastAsia="zh-CN" w:bidi="ar"/>
        </w:rPr>
        <w:t>C</w:t>
      </w:r>
      <w:r>
        <w:rPr>
          <w:rFonts w:hint="default" w:ascii="Times New Roman" w:hAnsi="Times New Roman" w:eastAsia="TimesNewRomanPS-BoldMT" w:cs="Times New Roman"/>
          <w:b w:val="0"/>
          <w:bCs/>
          <w:color w:val="000000"/>
          <w:kern w:val="0"/>
          <w:sz w:val="24"/>
          <w:szCs w:val="24"/>
          <w:lang w:val="en-US" w:eastAsia="zh-CN" w:bidi="ar"/>
        </w:rPr>
        <w:t xml:space="preserve">) for two-sample MR analysis of </w:t>
      </w:r>
      <w:r>
        <w:rPr>
          <w:rFonts w:hint="eastAsia" w:ascii="Times New Roman" w:hAnsi="Times New Roman" w:cs="Times New Roman"/>
          <w:b w:val="0"/>
          <w:bCs/>
          <w:sz w:val="24"/>
          <w:szCs w:val="24"/>
          <w:lang w:val="en-US" w:eastAsia="zh-CN"/>
        </w:rPr>
        <w:t>Tumor necrosis factor ligand superfamily member 14 levels</w:t>
      </w:r>
      <w:r>
        <w:rPr>
          <w:rFonts w:hint="default" w:ascii="Times New Roman" w:hAnsi="Times New Roman" w:eastAsia="TimesNewRomanPS-BoldMT" w:cs="Times New Roman"/>
          <w:b w:val="0"/>
          <w:bCs/>
          <w:color w:val="000000"/>
          <w:kern w:val="0"/>
          <w:sz w:val="24"/>
          <w:szCs w:val="24"/>
          <w:lang w:val="en-US" w:eastAsia="zh-CN" w:bidi="ar"/>
        </w:rPr>
        <w:t xml:space="preserve"> 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w:t>
      </w:r>
      <w:r>
        <w:rPr>
          <w:rFonts w:hint="eastAsia" w:ascii="Times New Roman" w:hAnsi="Times New Roman" w:eastAsia="TimesNewRomanPS-BoldMT" w:cs="Times New Roman"/>
          <w:b w:val="0"/>
          <w:bCs/>
          <w:color w:val="000000"/>
          <w:kern w:val="0"/>
          <w:sz w:val="24"/>
          <w:szCs w:val="24"/>
          <w:lang w:val="en-US" w:eastAsia="zh-CN" w:bidi="ar"/>
        </w:rPr>
        <w:t xml:space="preserve"> </w:t>
      </w:r>
      <w:r>
        <w:rPr>
          <w:rFonts w:hint="eastAsia" w:ascii="Times New Roman" w:hAnsi="Times New Roman" w:eastAsia="微软雅黑" w:cs="Times New Roman"/>
          <w:b w:val="0"/>
          <w:bCs/>
          <w:color w:val="000000"/>
          <w:kern w:val="0"/>
          <w:sz w:val="24"/>
          <w:szCs w:val="24"/>
          <w:lang w:val="en-US" w:eastAsia="zh-CN" w:bidi="ar"/>
        </w:rPr>
        <w:t>e</w:t>
      </w:r>
      <w:r>
        <w:rPr>
          <w:rFonts w:hint="default" w:ascii="Times New Roman" w:hAnsi="Times New Roman" w:eastAsia="微软雅黑" w:cs="Times New Roman"/>
          <w:b w:val="0"/>
          <w:bCs/>
          <w:color w:val="000000"/>
          <w:kern w:val="0"/>
          <w:sz w:val="24"/>
          <w:szCs w:val="24"/>
          <w:lang w:val="en-US" w:eastAsia="zh-CN" w:bidi="ar"/>
        </w:rPr>
        <w:t>ach horizontal line represents a SNP estimated by the Wald ratio method. A line to the left of 0 indicates a protective effect, while a line to the right indicates a risk factor. The red line below IVW shows the final result.</w:t>
      </w:r>
      <w:r>
        <w:rPr>
          <w:rFonts w:hint="default" w:ascii="Times New Roman" w:hAnsi="Times New Roman" w:eastAsia="TimesNewRomanPS-BoldMT" w:cs="Times New Roman"/>
          <w:b w:val="0"/>
          <w:bCs/>
          <w:color w:val="000000"/>
          <w:kern w:val="0"/>
          <w:sz w:val="24"/>
          <w:szCs w:val="24"/>
          <w:lang w:val="en-US" w:eastAsia="zh-CN" w:bidi="ar"/>
        </w:rPr>
        <w:t>Leave-one-out plots (</w:t>
      </w:r>
      <w:r>
        <w:rPr>
          <w:rFonts w:hint="eastAsia" w:ascii="Times New Roman" w:hAnsi="Times New Roman" w:eastAsia="TimesNewRomanPS-BoldMT" w:cs="Times New Roman"/>
          <w:b w:val="0"/>
          <w:bCs/>
          <w:color w:val="000000"/>
          <w:kern w:val="0"/>
          <w:sz w:val="24"/>
          <w:szCs w:val="24"/>
          <w:lang w:val="en-US" w:eastAsia="zh-CN" w:bidi="ar"/>
        </w:rPr>
        <w:t>D</w:t>
      </w:r>
      <w:r>
        <w:rPr>
          <w:rFonts w:hint="default" w:ascii="Times New Roman" w:hAnsi="Times New Roman" w:eastAsia="TimesNewRomanPS-BoldMT" w:cs="Times New Roman"/>
          <w:b w:val="0"/>
          <w:bCs/>
          <w:color w:val="000000"/>
          <w:kern w:val="0"/>
          <w:sz w:val="24"/>
          <w:szCs w:val="24"/>
          <w:lang w:val="en-US" w:eastAsia="zh-CN" w:bidi="ar"/>
        </w:rPr>
        <w:t xml:space="preserve">)for two-sample MR analysis of </w:t>
      </w:r>
      <w:r>
        <w:rPr>
          <w:rFonts w:hint="eastAsia" w:ascii="Times New Roman" w:hAnsi="Times New Roman" w:cs="Times New Roman"/>
          <w:b w:val="0"/>
          <w:bCs/>
          <w:sz w:val="24"/>
          <w:szCs w:val="24"/>
          <w:lang w:val="en-US" w:eastAsia="zh-CN"/>
        </w:rPr>
        <w:t>Tumor necrosis factor ligand superfamily member 14 levels</w:t>
      </w:r>
      <w:r>
        <w:rPr>
          <w:rFonts w:hint="default" w:ascii="Times New Roman" w:hAnsi="Times New Roman" w:eastAsia="TimesNewRomanPS-BoldMT" w:cs="Times New Roman"/>
          <w:b w:val="0"/>
          <w:bCs/>
          <w:color w:val="000000"/>
          <w:kern w:val="0"/>
          <w:sz w:val="24"/>
          <w:szCs w:val="24"/>
          <w:lang w:val="en-US" w:eastAsia="zh-CN" w:bidi="ar"/>
        </w:rPr>
        <w:t xml:space="preserve"> 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 xml:space="preserve">. </w:t>
      </w:r>
      <w:r>
        <w:rPr>
          <w:rFonts w:hint="default" w:ascii="Times New Roman" w:hAnsi="Times New Roman" w:eastAsia="宋体" w:cs="Times New Roman"/>
          <w:b w:val="0"/>
          <w:bCs/>
          <w:color w:val="000000"/>
          <w:kern w:val="0"/>
          <w:sz w:val="24"/>
          <w:szCs w:val="24"/>
          <w:lang w:val="en-US" w:eastAsia="zh-CN" w:bidi="ar"/>
        </w:rPr>
        <w:t>The dark dots indicate effect measures from IVW MR analysis excluding the index SNPs. The red lines indicate the effect size from pooled analysis including all SNPs according to the IVW MR method</w:t>
      </w:r>
      <w:r>
        <w:rPr>
          <w:rFonts w:hint="default" w:ascii="Times New Roman" w:hAnsi="Times New Roman" w:eastAsia="宋体" w:cs="Times New Roman"/>
          <w:b w:val="0"/>
          <w:bCs/>
          <w:color w:val="000000"/>
          <w:kern w:val="0"/>
          <w:sz w:val="16"/>
          <w:szCs w:val="16"/>
          <w:lang w:val="en-US" w:eastAsia="zh-CN" w:bidi="ar"/>
        </w:rPr>
        <w:t>.</w:t>
      </w:r>
    </w:p>
    <w:p w14:paraId="66CECEAF">
      <w:pPr>
        <w:rPr>
          <w:rFonts w:hint="eastAsia" w:ascii="Times New Roman" w:hAnsi="Times New Roman" w:cs="Times New Roman"/>
          <w:b/>
          <w:bCs/>
          <w:sz w:val="24"/>
          <w:szCs w:val="24"/>
          <w:lang w:val="en-US" w:eastAsia="zh-CN"/>
        </w:rPr>
      </w:pPr>
    </w:p>
    <w:p w14:paraId="350C1B25">
      <w:pPr>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Figure S2 The causal effect between </w:t>
      </w:r>
      <w:r>
        <w:rPr>
          <w:rFonts w:hint="eastAsia" w:ascii="Times New Roman" w:hAnsi="Times New Roman" w:eastAsia="HardingText-Regular" w:cs="Times New Roman"/>
          <w:b/>
          <w:bCs/>
          <w:color w:val="000000" w:themeColor="text1"/>
          <w:kern w:val="0"/>
          <w:sz w:val="24"/>
          <w:szCs w:val="24"/>
          <w:highlight w:val="none"/>
          <w:shd w:val="clear" w:color="auto" w:fill="auto"/>
          <w:lang w:val="en-US" w:eastAsia="zh-CN" w:bidi="ar"/>
          <w14:textFill>
            <w14:solidFill>
              <w14:schemeClr w14:val="tx1"/>
            </w14:solidFill>
          </w14:textFill>
        </w:rPr>
        <w:t>TNF-related apoptosis-inducing ligand</w:t>
      </w:r>
      <w:r>
        <w:rPr>
          <w:rFonts w:hint="eastAsia" w:ascii="Times New Roman" w:hAnsi="Times New Roman" w:eastAsia="HardingText-Regular" w:cs="Times New Roman"/>
          <w:color w:val="000000" w:themeColor="text1"/>
          <w:kern w:val="0"/>
          <w:sz w:val="24"/>
          <w:szCs w:val="24"/>
          <w:highlight w:val="none"/>
          <w:shd w:val="clear" w:color="auto" w:fill="auto"/>
          <w:lang w:val="en-US" w:eastAsia="zh-CN" w:bidi="ar"/>
          <w14:textFill>
            <w14:solidFill>
              <w14:schemeClr w14:val="tx1"/>
            </w14:solidFill>
          </w14:textFill>
        </w:rPr>
        <w:t xml:space="preserve"> </w:t>
      </w:r>
      <w:r>
        <w:rPr>
          <w:rFonts w:hint="eastAsia" w:ascii="Times New Roman" w:hAnsi="Times New Roman" w:cs="Times New Roman"/>
          <w:b/>
          <w:bCs/>
          <w:sz w:val="24"/>
          <w:szCs w:val="24"/>
          <w:lang w:val="en-US" w:eastAsia="zh-CN"/>
        </w:rPr>
        <w:t>and AD.</w:t>
      </w:r>
    </w:p>
    <w:p w14:paraId="2E833678">
      <w:pPr>
        <w:rPr>
          <w:rFonts w:hint="default" w:ascii="Times New Roman" w:hAnsi="Times New Roman" w:cs="Times New Roman"/>
          <w:b w:val="0"/>
          <w:bCs/>
          <w:sz w:val="16"/>
          <w:szCs w:val="16"/>
        </w:rPr>
      </w:pPr>
      <w:r>
        <w:rPr>
          <w:rFonts w:hint="default" w:ascii="Times New Roman" w:hAnsi="Times New Roman" w:cs="Times New Roman"/>
          <w:b w:val="0"/>
          <w:bCs/>
          <w:sz w:val="24"/>
          <w:szCs w:val="24"/>
        </w:rPr>
        <w:t xml:space="preserve">Scatter plots </w:t>
      </w:r>
      <w:r>
        <w:rPr>
          <w:rFonts w:hint="default" w:ascii="Times New Roman" w:hAnsi="Times New Roman" w:cs="Times New Roman"/>
          <w:b w:val="0"/>
          <w:bCs/>
          <w:sz w:val="24"/>
          <w:szCs w:val="24"/>
          <w:lang w:val="en-US" w:eastAsia="zh-CN"/>
        </w:rPr>
        <w:t>(</w:t>
      </w:r>
      <w:r>
        <w:rPr>
          <w:rFonts w:hint="eastAsia" w:ascii="Times New Roman" w:hAnsi="Times New Roman" w:cs="Times New Roman"/>
          <w:b w:val="0"/>
          <w:bCs/>
          <w:sz w:val="24"/>
          <w:szCs w:val="24"/>
          <w:lang w:val="en-US" w:eastAsia="zh-CN"/>
        </w:rPr>
        <w:t>A</w:t>
      </w:r>
      <w:r>
        <w:rPr>
          <w:rFonts w:hint="default" w:ascii="Times New Roman" w:hAnsi="Times New Roman" w:cs="Times New Roman"/>
          <w:b w:val="0"/>
          <w:bCs/>
          <w:sz w:val="24"/>
          <w:szCs w:val="24"/>
          <w:lang w:val="en-US" w:eastAsia="zh-CN"/>
        </w:rPr>
        <w:t>)</w:t>
      </w:r>
      <w:r>
        <w:rPr>
          <w:rFonts w:hint="default" w:ascii="Times New Roman" w:hAnsi="Times New Roman" w:cs="Times New Roman"/>
          <w:b w:val="0"/>
          <w:bCs/>
          <w:sz w:val="24"/>
          <w:szCs w:val="24"/>
        </w:rPr>
        <w:t>for the causal associations between</w:t>
      </w:r>
      <w:r>
        <w:rPr>
          <w:rFonts w:hint="default" w:ascii="Times New Roman" w:hAnsi="Times New Roman" w:cs="Times New Roman"/>
          <w:b w:val="0"/>
          <w:bCs/>
          <w:sz w:val="24"/>
          <w:szCs w:val="24"/>
          <w:lang w:val="en-US" w:eastAsia="zh-CN"/>
        </w:rPr>
        <w:t xml:space="preserve"> </w:t>
      </w:r>
      <w:r>
        <w:rPr>
          <w:rFonts w:hint="eastAsia" w:ascii="Times New Roman" w:hAnsi="Times New Roman" w:eastAsia="HardingText-Regular" w:cs="Times New Roman"/>
          <w:color w:val="000000" w:themeColor="text1"/>
          <w:kern w:val="0"/>
          <w:sz w:val="24"/>
          <w:szCs w:val="24"/>
          <w:highlight w:val="none"/>
          <w:shd w:val="clear" w:color="auto" w:fill="auto"/>
          <w:lang w:val="en-US" w:eastAsia="zh-CN" w:bidi="ar"/>
          <w14:textFill>
            <w14:solidFill>
              <w14:schemeClr w14:val="tx1"/>
            </w14:solidFill>
          </w14:textFill>
        </w:rPr>
        <w:t>TNF-related apoptosis-inducing ligand</w:t>
      </w:r>
      <w:r>
        <w:rPr>
          <w:rFonts w:hint="default" w:ascii="Times New Roman" w:hAnsi="Times New Roman" w:cs="Times New Roman"/>
          <w:b w:val="0"/>
          <w:bCs/>
          <w:sz w:val="24"/>
          <w:szCs w:val="24"/>
        </w:rPr>
        <w:t xml:space="preserve"> </w:t>
      </w:r>
      <w:r>
        <w:rPr>
          <w:rFonts w:hint="default" w:ascii="Times New Roman" w:hAnsi="Times New Roman" w:cs="Times New Roman"/>
          <w:b w:val="0"/>
          <w:bCs/>
          <w:sz w:val="24"/>
          <w:szCs w:val="24"/>
          <w:lang w:val="en-US" w:eastAsia="zh-CN"/>
        </w:rPr>
        <w:t>and</w:t>
      </w:r>
      <w:r>
        <w:rPr>
          <w:rFonts w:hint="default" w:ascii="Times New Roman" w:hAnsi="Times New Roman" w:cs="Times New Roman"/>
          <w:b w:val="0"/>
          <w:bCs/>
          <w:sz w:val="24"/>
          <w:szCs w:val="24"/>
        </w:rPr>
        <w:t xml:space="preserve"> </w:t>
      </w:r>
      <w:r>
        <w:rPr>
          <w:rFonts w:hint="eastAsia" w:ascii="Times New Roman" w:hAnsi="Times New Roman" w:cs="Times New Roman"/>
          <w:b w:val="0"/>
          <w:bCs/>
          <w:sz w:val="24"/>
          <w:szCs w:val="24"/>
          <w:lang w:val="en-US" w:eastAsia="zh-CN"/>
        </w:rPr>
        <w:t>AD</w:t>
      </w:r>
      <w:r>
        <w:rPr>
          <w:rFonts w:hint="default" w:ascii="Times New Roman" w:hAnsi="Times New Roman" w:cs="Times New Roman"/>
          <w:b w:val="0"/>
          <w:bCs/>
          <w:sz w:val="24"/>
          <w:szCs w:val="24"/>
        </w:rPr>
        <w:t>.</w:t>
      </w:r>
      <w:r>
        <w:rPr>
          <w:rFonts w:hint="default" w:ascii="Times New Roman" w:hAnsi="Times New Roman" w:cs="Times New Roman"/>
          <w:b w:val="0"/>
          <w:bCs/>
          <w:sz w:val="24"/>
          <w:szCs w:val="24"/>
          <w:lang w:eastAsia="zh-CN"/>
        </w:rPr>
        <w:t xml:space="preserve"> </w:t>
      </w:r>
      <w:r>
        <w:rPr>
          <w:rFonts w:hint="default" w:ascii="Times New Roman" w:hAnsi="Times New Roman" w:cs="Times New Roman"/>
          <w:b w:val="0"/>
          <w:bCs/>
          <w:sz w:val="24"/>
          <w:szCs w:val="24"/>
        </w:rPr>
        <w:t xml:space="preserve">Each black point represents the SNP effect sizes on the exposure (horizontal axis) and outcome (vertical axis) and is plotted with error bars of standard error (SE). The line slopes represent the causal association for each method: the inverse variance weighted (light blue line), MR-Egger regression(blue line), </w:t>
      </w:r>
      <w:r>
        <w:rPr>
          <w:rFonts w:hint="default" w:ascii="Times New Roman" w:hAnsi="Times New Roman" w:cs="Times New Roman"/>
          <w:b w:val="0"/>
          <w:bCs/>
          <w:sz w:val="24"/>
          <w:szCs w:val="24"/>
          <w:lang w:val="en-US" w:eastAsia="zh-CN"/>
        </w:rPr>
        <w:t>Simple mode</w:t>
      </w:r>
      <w:r>
        <w:rPr>
          <w:rFonts w:hint="default" w:ascii="Times New Roman" w:hAnsi="Times New Roman" w:cs="Times New Roman"/>
          <w:b w:val="0"/>
          <w:bCs/>
          <w:sz w:val="24"/>
          <w:szCs w:val="24"/>
        </w:rPr>
        <w:t>(light green line), weighted median (green line), and weighted mode (red</w:t>
      </w:r>
      <w:r>
        <w:rPr>
          <w:rFonts w:hint="default" w:ascii="Times New Roman" w:hAnsi="Times New Roman" w:cs="Times New Roman"/>
          <w:b w:val="0"/>
          <w:bCs/>
          <w:sz w:val="24"/>
          <w:szCs w:val="24"/>
          <w:lang w:val="en-US" w:eastAsia="zh-CN"/>
        </w:rPr>
        <w:t xml:space="preserve"> line).</w:t>
      </w:r>
      <w:r>
        <w:rPr>
          <w:rFonts w:hint="eastAsia" w:ascii="Times New Roman" w:hAnsi="Times New Roman" w:cs="Times New Roman"/>
          <w:b w:val="0"/>
          <w:bCs/>
          <w:sz w:val="24"/>
          <w:szCs w:val="24"/>
          <w:lang w:val="en-US" w:eastAsia="zh-CN"/>
        </w:rPr>
        <w:t xml:space="preserve"> </w:t>
      </w:r>
      <w:r>
        <w:rPr>
          <w:rFonts w:hint="default" w:ascii="Times New Roman" w:hAnsi="Times New Roman" w:cs="Times New Roman"/>
          <w:b w:val="0"/>
          <w:bCs/>
          <w:sz w:val="24"/>
          <w:szCs w:val="24"/>
          <w:lang w:val="en-US" w:eastAsia="zh-CN"/>
        </w:rPr>
        <w:t>Funnel plot (</w:t>
      </w:r>
      <w:r>
        <w:rPr>
          <w:rFonts w:hint="eastAsia" w:ascii="Times New Roman" w:hAnsi="Times New Roman" w:cs="Times New Roman"/>
          <w:b w:val="0"/>
          <w:bCs/>
          <w:sz w:val="24"/>
          <w:szCs w:val="24"/>
          <w:lang w:val="en-US" w:eastAsia="zh-CN"/>
        </w:rPr>
        <w:t>B</w:t>
      </w:r>
      <w:r>
        <w:rPr>
          <w:rFonts w:hint="default" w:ascii="Times New Roman" w:hAnsi="Times New Roman" w:cs="Times New Roman"/>
          <w:b w:val="0"/>
          <w:bCs/>
          <w:sz w:val="24"/>
          <w:szCs w:val="24"/>
          <w:lang w:val="en-US" w:eastAsia="zh-CN"/>
        </w:rPr>
        <w:t xml:space="preserve">) </w:t>
      </w:r>
      <w:r>
        <w:rPr>
          <w:rFonts w:hint="default" w:ascii="Times New Roman" w:hAnsi="Times New Roman" w:eastAsia="TimesNewRomanPS-BoldMT" w:cs="Times New Roman"/>
          <w:b w:val="0"/>
          <w:bCs/>
          <w:color w:val="000000"/>
          <w:kern w:val="0"/>
          <w:sz w:val="24"/>
          <w:szCs w:val="24"/>
          <w:lang w:val="en-US" w:eastAsia="zh-CN" w:bidi="ar"/>
        </w:rPr>
        <w:t xml:space="preserve">for two-sample MR analysis of </w:t>
      </w:r>
      <w:r>
        <w:rPr>
          <w:rFonts w:hint="eastAsia" w:ascii="Times New Roman" w:hAnsi="Times New Roman" w:eastAsia="HardingText-Regular" w:cs="Times New Roman"/>
          <w:color w:val="000000" w:themeColor="text1"/>
          <w:kern w:val="0"/>
          <w:sz w:val="24"/>
          <w:szCs w:val="24"/>
          <w:highlight w:val="none"/>
          <w:shd w:val="clear" w:color="auto" w:fill="auto"/>
          <w:lang w:val="en-US" w:eastAsia="zh-CN" w:bidi="ar"/>
          <w14:textFill>
            <w14:solidFill>
              <w14:schemeClr w14:val="tx1"/>
            </w14:solidFill>
          </w14:textFill>
        </w:rPr>
        <w:t xml:space="preserve">TNF-related apoptosis-inducing ligand </w:t>
      </w:r>
      <w:r>
        <w:rPr>
          <w:rFonts w:hint="default" w:ascii="Times New Roman" w:hAnsi="Times New Roman" w:eastAsia="TimesNewRomanPS-BoldMT" w:cs="Times New Roman"/>
          <w:b w:val="0"/>
          <w:bCs/>
          <w:color w:val="000000"/>
          <w:kern w:val="0"/>
          <w:sz w:val="24"/>
          <w:szCs w:val="24"/>
          <w:lang w:val="en-US" w:eastAsia="zh-CN" w:bidi="ar"/>
        </w:rPr>
        <w:t xml:space="preserve">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w:t>
      </w:r>
      <w:r>
        <w:rPr>
          <w:rFonts w:hint="eastAsia" w:ascii="Times New Roman" w:hAnsi="Times New Roman" w:eastAsia="TimesNewRomanPS-BoldMT" w:cs="Times New Roman"/>
          <w:b w:val="0"/>
          <w:bCs/>
          <w:color w:val="000000"/>
          <w:kern w:val="0"/>
          <w:sz w:val="24"/>
          <w:szCs w:val="24"/>
          <w:lang w:val="en-US" w:eastAsia="zh-CN" w:bidi="ar"/>
        </w:rPr>
        <w:t xml:space="preserve"> t</w:t>
      </w:r>
      <w:r>
        <w:rPr>
          <w:rFonts w:hint="default" w:ascii="Times New Roman" w:hAnsi="Times New Roman" w:eastAsia="TimesNewRomanPS-BoldMT" w:cs="Times New Roman"/>
          <w:b w:val="0"/>
          <w:bCs/>
          <w:color w:val="000000"/>
          <w:kern w:val="0"/>
          <w:sz w:val="24"/>
          <w:szCs w:val="24"/>
          <w:lang w:val="en-US" w:eastAsia="zh-CN" w:bidi="ar"/>
        </w:rPr>
        <w:t>he horizontal axis shows effect size, 1/SE is the vertical axis, and each dot represents a SNP.</w:t>
      </w:r>
      <w:r>
        <w:rPr>
          <w:rFonts w:hint="eastAsia" w:ascii="Times New Roman" w:hAnsi="Times New Roman" w:eastAsia="TimesNewRomanPS-BoldMT" w:cs="Times New Roman"/>
          <w:b w:val="0"/>
          <w:bCs/>
          <w:color w:val="000000"/>
          <w:kern w:val="0"/>
          <w:sz w:val="24"/>
          <w:szCs w:val="24"/>
          <w:lang w:val="en-US" w:eastAsia="zh-CN" w:bidi="ar"/>
        </w:rPr>
        <w:t xml:space="preserve"> </w:t>
      </w:r>
      <w:r>
        <w:rPr>
          <w:rFonts w:hint="default" w:ascii="Times New Roman" w:hAnsi="Times New Roman" w:eastAsia="TimesNewRomanPS-BoldMT" w:cs="Times New Roman"/>
          <w:b w:val="0"/>
          <w:bCs/>
          <w:color w:val="000000"/>
          <w:kern w:val="0"/>
          <w:sz w:val="24"/>
          <w:szCs w:val="24"/>
          <w:lang w:val="en-US" w:eastAsia="zh-CN" w:bidi="ar"/>
        </w:rPr>
        <w:t>Forest plot (</w:t>
      </w:r>
      <w:r>
        <w:rPr>
          <w:rFonts w:hint="eastAsia" w:ascii="Times New Roman" w:hAnsi="Times New Roman" w:eastAsia="TimesNewRomanPS-BoldMT" w:cs="Times New Roman"/>
          <w:b w:val="0"/>
          <w:bCs/>
          <w:color w:val="000000"/>
          <w:kern w:val="0"/>
          <w:sz w:val="24"/>
          <w:szCs w:val="24"/>
          <w:lang w:val="en-US" w:eastAsia="zh-CN" w:bidi="ar"/>
        </w:rPr>
        <w:t>C</w:t>
      </w:r>
      <w:r>
        <w:rPr>
          <w:rFonts w:hint="default" w:ascii="Times New Roman" w:hAnsi="Times New Roman" w:eastAsia="TimesNewRomanPS-BoldMT" w:cs="Times New Roman"/>
          <w:b w:val="0"/>
          <w:bCs/>
          <w:color w:val="000000"/>
          <w:kern w:val="0"/>
          <w:sz w:val="24"/>
          <w:szCs w:val="24"/>
          <w:lang w:val="en-US" w:eastAsia="zh-CN" w:bidi="ar"/>
        </w:rPr>
        <w:t xml:space="preserve">) for two-sample MR analysis of </w:t>
      </w:r>
      <w:r>
        <w:rPr>
          <w:rFonts w:hint="eastAsia" w:ascii="Times New Roman" w:hAnsi="Times New Roman" w:eastAsia="HardingText-Regular" w:cs="Times New Roman"/>
          <w:color w:val="000000" w:themeColor="text1"/>
          <w:kern w:val="0"/>
          <w:sz w:val="24"/>
          <w:szCs w:val="24"/>
          <w:highlight w:val="none"/>
          <w:shd w:val="clear" w:color="auto" w:fill="auto"/>
          <w:lang w:val="en-US" w:eastAsia="zh-CN" w:bidi="ar"/>
          <w14:textFill>
            <w14:solidFill>
              <w14:schemeClr w14:val="tx1"/>
            </w14:solidFill>
          </w14:textFill>
        </w:rPr>
        <w:t>TNF-related apoptosis-inducing ligand</w:t>
      </w:r>
      <w:r>
        <w:rPr>
          <w:rFonts w:hint="default" w:ascii="Times New Roman" w:hAnsi="Times New Roman" w:eastAsia="TimesNewRomanPS-BoldMT" w:cs="Times New Roman"/>
          <w:b w:val="0"/>
          <w:bCs/>
          <w:color w:val="000000"/>
          <w:kern w:val="0"/>
          <w:sz w:val="24"/>
          <w:szCs w:val="24"/>
          <w:lang w:val="en-US" w:eastAsia="zh-CN" w:bidi="ar"/>
        </w:rPr>
        <w:t xml:space="preserve"> 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w:t>
      </w:r>
      <w:r>
        <w:rPr>
          <w:rFonts w:hint="eastAsia" w:ascii="Times New Roman" w:hAnsi="Times New Roman" w:eastAsia="TimesNewRomanPS-BoldMT" w:cs="Times New Roman"/>
          <w:b w:val="0"/>
          <w:bCs/>
          <w:color w:val="000000"/>
          <w:kern w:val="0"/>
          <w:sz w:val="24"/>
          <w:szCs w:val="24"/>
          <w:lang w:val="en-US" w:eastAsia="zh-CN" w:bidi="ar"/>
        </w:rPr>
        <w:t xml:space="preserve"> </w:t>
      </w:r>
      <w:r>
        <w:rPr>
          <w:rFonts w:hint="eastAsia" w:ascii="Times New Roman" w:hAnsi="Times New Roman" w:eastAsia="微软雅黑" w:cs="Times New Roman"/>
          <w:b w:val="0"/>
          <w:bCs/>
          <w:color w:val="000000"/>
          <w:kern w:val="0"/>
          <w:sz w:val="24"/>
          <w:szCs w:val="24"/>
          <w:lang w:val="en-US" w:eastAsia="zh-CN" w:bidi="ar"/>
        </w:rPr>
        <w:t>e</w:t>
      </w:r>
      <w:r>
        <w:rPr>
          <w:rFonts w:hint="default" w:ascii="Times New Roman" w:hAnsi="Times New Roman" w:eastAsia="微软雅黑" w:cs="Times New Roman"/>
          <w:b w:val="0"/>
          <w:bCs/>
          <w:color w:val="000000"/>
          <w:kern w:val="0"/>
          <w:sz w:val="24"/>
          <w:szCs w:val="24"/>
          <w:lang w:val="en-US" w:eastAsia="zh-CN" w:bidi="ar"/>
        </w:rPr>
        <w:t>ach horizontal line represents a SNP estimated by the Wald ratio method. A line to the left of 0 indicates a protective effect, while a line to the right indicates a risk factor. The red line below IVW shows the final result.</w:t>
      </w:r>
      <w:r>
        <w:rPr>
          <w:rFonts w:hint="eastAsia" w:ascii="Times New Roman" w:hAnsi="Times New Roman" w:eastAsia="微软雅黑" w:cs="Times New Roman"/>
          <w:b w:val="0"/>
          <w:bCs/>
          <w:color w:val="000000"/>
          <w:kern w:val="0"/>
          <w:sz w:val="24"/>
          <w:szCs w:val="24"/>
          <w:lang w:val="en-US" w:eastAsia="zh-CN" w:bidi="ar"/>
        </w:rPr>
        <w:t xml:space="preserve"> </w:t>
      </w:r>
      <w:r>
        <w:rPr>
          <w:rFonts w:hint="default" w:ascii="Times New Roman" w:hAnsi="Times New Roman" w:eastAsia="TimesNewRomanPS-BoldMT" w:cs="Times New Roman"/>
          <w:b w:val="0"/>
          <w:bCs/>
          <w:color w:val="000000"/>
          <w:kern w:val="0"/>
          <w:sz w:val="24"/>
          <w:szCs w:val="24"/>
          <w:lang w:val="en-US" w:eastAsia="zh-CN" w:bidi="ar"/>
        </w:rPr>
        <w:t>Leave-one-out plots (</w:t>
      </w:r>
      <w:r>
        <w:rPr>
          <w:rFonts w:hint="eastAsia" w:ascii="Times New Roman" w:hAnsi="Times New Roman" w:eastAsia="TimesNewRomanPS-BoldMT" w:cs="Times New Roman"/>
          <w:b w:val="0"/>
          <w:bCs/>
          <w:color w:val="000000"/>
          <w:kern w:val="0"/>
          <w:sz w:val="24"/>
          <w:szCs w:val="24"/>
          <w:lang w:val="en-US" w:eastAsia="zh-CN" w:bidi="ar"/>
        </w:rPr>
        <w:t>D</w:t>
      </w:r>
      <w:r>
        <w:rPr>
          <w:rFonts w:hint="default" w:ascii="Times New Roman" w:hAnsi="Times New Roman" w:eastAsia="TimesNewRomanPS-BoldMT" w:cs="Times New Roman"/>
          <w:b w:val="0"/>
          <w:bCs/>
          <w:color w:val="000000"/>
          <w:kern w:val="0"/>
          <w:sz w:val="24"/>
          <w:szCs w:val="24"/>
          <w:lang w:val="en-US" w:eastAsia="zh-CN" w:bidi="ar"/>
        </w:rPr>
        <w:t xml:space="preserve"> )for two-sample MR analysis of </w:t>
      </w:r>
      <w:r>
        <w:rPr>
          <w:rFonts w:hint="eastAsia" w:ascii="Times New Roman" w:hAnsi="Times New Roman" w:eastAsia="HardingText-Regular" w:cs="Times New Roman"/>
          <w:color w:val="000000" w:themeColor="text1"/>
          <w:kern w:val="0"/>
          <w:sz w:val="24"/>
          <w:szCs w:val="24"/>
          <w:highlight w:val="none"/>
          <w:shd w:val="clear" w:color="auto" w:fill="auto"/>
          <w:lang w:val="en-US" w:eastAsia="zh-CN" w:bidi="ar"/>
          <w14:textFill>
            <w14:solidFill>
              <w14:schemeClr w14:val="tx1"/>
            </w14:solidFill>
          </w14:textFill>
        </w:rPr>
        <w:t xml:space="preserve">TNF-related apoptosis-inducing ligand </w:t>
      </w:r>
      <w:r>
        <w:rPr>
          <w:rFonts w:hint="default" w:ascii="Times New Roman" w:hAnsi="Times New Roman" w:eastAsia="TimesNewRomanPS-BoldMT" w:cs="Times New Roman"/>
          <w:b w:val="0"/>
          <w:bCs/>
          <w:color w:val="000000"/>
          <w:kern w:val="0"/>
          <w:sz w:val="24"/>
          <w:szCs w:val="24"/>
          <w:lang w:val="en-US" w:eastAsia="zh-CN" w:bidi="ar"/>
        </w:rPr>
        <w:t xml:space="preserve">on </w:t>
      </w:r>
      <w:r>
        <w:rPr>
          <w:rFonts w:hint="eastAsia" w:ascii="Times New Roman" w:hAnsi="Times New Roman" w:eastAsia="TimesNewRomanPS-BoldMT" w:cs="Times New Roman"/>
          <w:b w:val="0"/>
          <w:bCs/>
          <w:color w:val="000000"/>
          <w:kern w:val="0"/>
          <w:sz w:val="24"/>
          <w:szCs w:val="24"/>
          <w:lang w:val="en-US" w:eastAsia="zh-CN" w:bidi="ar"/>
        </w:rPr>
        <w:t>AD</w:t>
      </w:r>
      <w:r>
        <w:rPr>
          <w:rFonts w:hint="default" w:ascii="Times New Roman" w:hAnsi="Times New Roman" w:eastAsia="TimesNewRomanPS-BoldMT" w:cs="Times New Roman"/>
          <w:b w:val="0"/>
          <w:bCs/>
          <w:color w:val="000000"/>
          <w:kern w:val="0"/>
          <w:sz w:val="24"/>
          <w:szCs w:val="24"/>
          <w:lang w:val="en-US" w:eastAsia="zh-CN" w:bidi="ar"/>
        </w:rPr>
        <w:t xml:space="preserve">. </w:t>
      </w:r>
      <w:r>
        <w:rPr>
          <w:rFonts w:hint="default" w:ascii="Times New Roman" w:hAnsi="Times New Roman" w:eastAsia="宋体" w:cs="Times New Roman"/>
          <w:b w:val="0"/>
          <w:bCs/>
          <w:color w:val="000000"/>
          <w:kern w:val="0"/>
          <w:sz w:val="24"/>
          <w:szCs w:val="24"/>
          <w:lang w:val="en-US" w:eastAsia="zh-CN" w:bidi="ar"/>
        </w:rPr>
        <w:t>The dark dots indicate effect measures from IVW MR analysis excluding the index SNPs. The red lines indicate the effect size from pooled analysis including all SNPs according to the IVW MR method</w:t>
      </w:r>
      <w:r>
        <w:rPr>
          <w:rFonts w:hint="default" w:ascii="Times New Roman" w:hAnsi="Times New Roman" w:eastAsia="宋体" w:cs="Times New Roman"/>
          <w:b w:val="0"/>
          <w:bCs/>
          <w:color w:val="000000"/>
          <w:kern w:val="0"/>
          <w:sz w:val="16"/>
          <w:szCs w:val="16"/>
          <w:lang w:val="en-US" w:eastAsia="zh-CN" w:bidi="ar"/>
        </w:rPr>
        <w:t>.</w:t>
      </w:r>
    </w:p>
    <w:p w14:paraId="2C1B9795">
      <w:pPr>
        <w:rPr>
          <w:rFonts w:hint="eastAsia" w:ascii="Times New Roman" w:hAnsi="Times New Roman" w:cs="Times New Roman"/>
          <w:b/>
          <w:bCs/>
          <w:sz w:val="24"/>
          <w:szCs w:val="24"/>
          <w:lang w:val="en-US" w:eastAsia="zh-CN"/>
        </w:rPr>
      </w:pPr>
    </w:p>
    <w:p w14:paraId="70D7D76D">
      <w:pPr>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Figure S3 The causal effect of positive immune cells on the positive plasma metabolites.</w:t>
      </w:r>
    </w:p>
    <w:p w14:paraId="74AECE40">
      <w:pPr>
        <w:rPr>
          <w:rFonts w:hint="default" w:ascii="Times New Roman" w:hAnsi="Times New Roman" w:cs="Times New Roman"/>
          <w:b/>
          <w:bCs/>
          <w:sz w:val="24"/>
          <w:szCs w:val="24"/>
          <w:lang w:val="en-US" w:eastAsia="zh-CN"/>
        </w:rPr>
      </w:pPr>
      <w:r>
        <w:rPr>
          <w:rFonts w:hint="eastAsia" w:ascii="Times New Roman" w:hAnsi="Times New Roman" w:cs="Times New Roman"/>
          <w:sz w:val="24"/>
          <w:szCs w:val="24"/>
          <w:highlight w:val="none"/>
          <w:lang w:val="en-US" w:eastAsia="zh-CN"/>
        </w:rPr>
        <w:t>The forest plot illustrating the causal relationship between a positive immune cells and positive plasma metabolites, derived from IVW MR analysis. The horizontal bars indicate the estimated OR along with their 95% CI for the impact of a positive diet on plasma metabolites. OR not equal to 1 with a p-value less than 0.05 signifies statistically significant differences. Here, OR denotes the odds ratio, while CI refers to the confidence interval</w:t>
      </w:r>
    </w:p>
    <w:p w14:paraId="66624CB8">
      <w:pPr>
        <w:rPr>
          <w:rFonts w:hint="eastAsia" w:ascii="Times New Roman" w:hAnsi="Times New Roman" w:cs="Times New Roman"/>
          <w:b/>
          <w:bCs/>
          <w:sz w:val="24"/>
          <w:szCs w:val="24"/>
          <w:lang w:val="en-US" w:eastAsia="zh-CN"/>
        </w:rPr>
      </w:pPr>
    </w:p>
    <w:p w14:paraId="6DAB7877">
      <w:pPr>
        <w:rPr>
          <w:rFonts w:hint="default" w:ascii="Times New Roman" w:hAnsi="Times New Roman" w:cs="Times New Roman"/>
          <w:b/>
          <w:bCs/>
          <w:sz w:val="24"/>
          <w:szCs w:val="24"/>
          <w:lang w:val="en-US" w:eastAsia="zh-CN"/>
        </w:rPr>
      </w:pPr>
    </w:p>
    <w:bookmarkEnd w:id="0"/>
    <w:p w14:paraId="5E407AB9">
      <w:pPr>
        <w:rPr>
          <w:rFonts w:hint="default" w:ascii="Times New Roman" w:hAnsi="Times New Roman" w:cs="Times New Roman"/>
          <w:sz w:val="24"/>
          <w:szCs w:val="24"/>
          <w:lang w:val="en-US" w:eastAsia="zh-CN"/>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Bold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HardingTex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jYjc2YjliZTVlNDJjNGJiYWUxNjdkYzk5NzRhZDAifQ=="/>
  </w:docVars>
  <w:rsids>
    <w:rsidRoot w:val="00000000"/>
    <w:rsid w:val="00072C34"/>
    <w:rsid w:val="00E6284A"/>
    <w:rsid w:val="02BD75DA"/>
    <w:rsid w:val="02F96864"/>
    <w:rsid w:val="04844854"/>
    <w:rsid w:val="05EA36D4"/>
    <w:rsid w:val="088F37C7"/>
    <w:rsid w:val="096A04BC"/>
    <w:rsid w:val="09FE6E56"/>
    <w:rsid w:val="0A232419"/>
    <w:rsid w:val="0B512248"/>
    <w:rsid w:val="0C41302A"/>
    <w:rsid w:val="0E530B96"/>
    <w:rsid w:val="0F1D38DB"/>
    <w:rsid w:val="0F96368D"/>
    <w:rsid w:val="10EB0706"/>
    <w:rsid w:val="11254CC9"/>
    <w:rsid w:val="12011292"/>
    <w:rsid w:val="1323118B"/>
    <w:rsid w:val="14C173FE"/>
    <w:rsid w:val="14E367D7"/>
    <w:rsid w:val="14EA7F75"/>
    <w:rsid w:val="174A7237"/>
    <w:rsid w:val="18910E95"/>
    <w:rsid w:val="19726F19"/>
    <w:rsid w:val="1A0F4768"/>
    <w:rsid w:val="1A3441CE"/>
    <w:rsid w:val="1B5E7755"/>
    <w:rsid w:val="1C3D380E"/>
    <w:rsid w:val="1ECE2E43"/>
    <w:rsid w:val="1FA63478"/>
    <w:rsid w:val="204809D3"/>
    <w:rsid w:val="207B2B57"/>
    <w:rsid w:val="218872DA"/>
    <w:rsid w:val="22D87DED"/>
    <w:rsid w:val="236E24FF"/>
    <w:rsid w:val="23D83E1C"/>
    <w:rsid w:val="241412F8"/>
    <w:rsid w:val="26355556"/>
    <w:rsid w:val="2702368A"/>
    <w:rsid w:val="276500BD"/>
    <w:rsid w:val="294206B6"/>
    <w:rsid w:val="2DA82AB1"/>
    <w:rsid w:val="2FC71915"/>
    <w:rsid w:val="3034687E"/>
    <w:rsid w:val="30DD0CC4"/>
    <w:rsid w:val="313F54DB"/>
    <w:rsid w:val="322D17D7"/>
    <w:rsid w:val="3322547E"/>
    <w:rsid w:val="336A2CE3"/>
    <w:rsid w:val="340547BA"/>
    <w:rsid w:val="36BB1AA7"/>
    <w:rsid w:val="36C56482"/>
    <w:rsid w:val="375C50F8"/>
    <w:rsid w:val="39DE7F87"/>
    <w:rsid w:val="3A010729"/>
    <w:rsid w:val="3A63048C"/>
    <w:rsid w:val="3D2E4D81"/>
    <w:rsid w:val="3D532A3A"/>
    <w:rsid w:val="413606A8"/>
    <w:rsid w:val="46184820"/>
    <w:rsid w:val="47941C85"/>
    <w:rsid w:val="488E0DCA"/>
    <w:rsid w:val="4A4554B8"/>
    <w:rsid w:val="4B055334"/>
    <w:rsid w:val="4B601977"/>
    <w:rsid w:val="4BCD1C09"/>
    <w:rsid w:val="4C742085"/>
    <w:rsid w:val="4CE23492"/>
    <w:rsid w:val="4DBF4CBE"/>
    <w:rsid w:val="4DDF5BA1"/>
    <w:rsid w:val="4E164ED2"/>
    <w:rsid w:val="500B0F52"/>
    <w:rsid w:val="51CE0489"/>
    <w:rsid w:val="521A1920"/>
    <w:rsid w:val="52BF7DD2"/>
    <w:rsid w:val="52C5188C"/>
    <w:rsid w:val="53690469"/>
    <w:rsid w:val="55825812"/>
    <w:rsid w:val="578A4E52"/>
    <w:rsid w:val="59DE3233"/>
    <w:rsid w:val="5B853D63"/>
    <w:rsid w:val="5BBC1352"/>
    <w:rsid w:val="5C3929A3"/>
    <w:rsid w:val="5C974299"/>
    <w:rsid w:val="5CC11316"/>
    <w:rsid w:val="5E4915C3"/>
    <w:rsid w:val="5E99076A"/>
    <w:rsid w:val="63620A31"/>
    <w:rsid w:val="659A0956"/>
    <w:rsid w:val="673426E5"/>
    <w:rsid w:val="679B2764"/>
    <w:rsid w:val="6A31115D"/>
    <w:rsid w:val="6FE70C3C"/>
    <w:rsid w:val="707A385E"/>
    <w:rsid w:val="71557924"/>
    <w:rsid w:val="716342F2"/>
    <w:rsid w:val="71C72AD3"/>
    <w:rsid w:val="720A6E64"/>
    <w:rsid w:val="727E6F0A"/>
    <w:rsid w:val="730D09BA"/>
    <w:rsid w:val="74962C31"/>
    <w:rsid w:val="74F02341"/>
    <w:rsid w:val="756643B1"/>
    <w:rsid w:val="761B33ED"/>
    <w:rsid w:val="76D57A40"/>
    <w:rsid w:val="78DD498A"/>
    <w:rsid w:val="797F5B2E"/>
    <w:rsid w:val="7993773F"/>
    <w:rsid w:val="79960FDD"/>
    <w:rsid w:val="7E121CA5"/>
    <w:rsid w:val="7E74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590</Words>
  <Characters>3182</Characters>
  <Lines>0</Lines>
  <Paragraphs>0</Paragraphs>
  <TotalTime>7</TotalTime>
  <ScaleCrop>false</ScaleCrop>
  <LinksUpToDate>false</LinksUpToDate>
  <CharactersWithSpaces>3763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2024-08-25T15:14:00Z</dcterms:created>
  <dc:creator>47914</dc:creator>
  <cp:lastModifiedBy>崔小岩</cp:lastModifiedBy>
  <dcterms:modified xsi:type="dcterms:W3CDTF">2024-11-17T06:39:10Z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45E7433635BC4EB18E0B5CF26E9B983F_12</vt:lpwstr>
  </property>
</Properties>
</file>